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b w:val="0"/>
          <w:bCs w:val="0"/>
          <w:color w:val="000000"/>
          <w:sz w:val="32"/>
          <w:szCs w:val="32"/>
        </w:rPr>
      </w:pPr>
      <w:r>
        <w:rPr>
          <w:rFonts w:hint="default" w:ascii="Times New Roman" w:hAnsi="Times New Roman" w:eastAsia="方正小标宋简体" w:cs="Times New Roman"/>
          <w:b/>
          <w:bCs/>
          <w:color w:val="000000"/>
          <w:sz w:val="32"/>
          <w:szCs w:val="32"/>
        </w:rPr>
        <w:t>2026</w:t>
      </w:r>
      <w:r>
        <w:rPr>
          <w:rFonts w:hint="eastAsia" w:ascii="方正小标宋简体" w:hAnsi="方正小标宋简体" w:eastAsia="方正小标宋简体" w:cs="方正小标宋简体"/>
          <w:b w:val="0"/>
          <w:bCs w:val="0"/>
          <w:color w:val="000000"/>
          <w:sz w:val="32"/>
          <w:szCs w:val="32"/>
        </w:rPr>
        <w:t>年北京市固定式通用灯具产品质量监督抽查实施细则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7B41AE9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抽样基数满足抽样数量即可，对于固定式通用灯具，抽取3个，其中2个为检验用样品，另1个为备用样品。</w:t>
      </w:r>
    </w:p>
    <w:p w14:paraId="07A89D6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279"/>
        <w:gridCol w:w="2490"/>
        <w:gridCol w:w="2281"/>
        <w:gridCol w:w="2191"/>
      </w:tblGrid>
      <w:tr w14:paraId="686A5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noWrap w:val="0"/>
            <w:vAlign w:val="center"/>
          </w:tcPr>
          <w:p w14:paraId="29818A73">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2080" w:type="pct"/>
            <w:gridSpan w:val="2"/>
            <w:noWrap w:val="0"/>
            <w:vAlign w:val="center"/>
          </w:tcPr>
          <w:p w14:paraId="67A032C4">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1259" w:type="pct"/>
            <w:noWrap w:val="0"/>
            <w:vAlign w:val="center"/>
          </w:tcPr>
          <w:p w14:paraId="5892E00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检验依据</w:t>
            </w:r>
          </w:p>
        </w:tc>
        <w:tc>
          <w:tcPr>
            <w:tcW w:w="1209" w:type="pct"/>
            <w:noWrap w:val="0"/>
            <w:vAlign w:val="center"/>
          </w:tcPr>
          <w:p w14:paraId="66D7B22F">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62AB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450" w:type="pct"/>
            <w:vMerge w:val="restart"/>
            <w:noWrap w:val="0"/>
            <w:vAlign w:val="center"/>
          </w:tcPr>
          <w:p w14:paraId="11D0AB57">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706" w:type="pct"/>
            <w:vMerge w:val="restart"/>
            <w:noWrap w:val="0"/>
            <w:vAlign w:val="center"/>
          </w:tcPr>
          <w:p w14:paraId="242B5083">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结构</w:t>
            </w:r>
          </w:p>
        </w:tc>
        <w:tc>
          <w:tcPr>
            <w:tcW w:w="1374" w:type="pct"/>
            <w:noWrap w:val="0"/>
            <w:vAlign w:val="center"/>
          </w:tcPr>
          <w:p w14:paraId="1E421677">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走线槽</w:t>
            </w:r>
          </w:p>
        </w:tc>
        <w:tc>
          <w:tcPr>
            <w:tcW w:w="1259" w:type="pct"/>
            <w:vMerge w:val="restart"/>
            <w:noWrap w:val="0"/>
            <w:vAlign w:val="center"/>
          </w:tcPr>
          <w:p w14:paraId="70C20168">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4CA7D83B">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c>
          <w:tcPr>
            <w:tcW w:w="1209" w:type="pct"/>
            <w:vMerge w:val="restart"/>
            <w:noWrap w:val="0"/>
            <w:vAlign w:val="center"/>
          </w:tcPr>
          <w:p w14:paraId="1E2FD293">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96102F1">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r>
      <w:tr w14:paraId="1901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450" w:type="pct"/>
            <w:vMerge w:val="continue"/>
            <w:noWrap w:val="0"/>
            <w:vAlign w:val="center"/>
          </w:tcPr>
          <w:p w14:paraId="1C7FC2C6">
            <w:pPr>
              <w:snapToGrid w:val="0"/>
              <w:jc w:val="center"/>
              <w:rPr>
                <w:rFonts w:hint="default" w:ascii="Times New Roman" w:hAnsi="Times New Roman" w:cs="Times New Roman"/>
              </w:rPr>
            </w:pPr>
          </w:p>
        </w:tc>
        <w:tc>
          <w:tcPr>
            <w:tcW w:w="706" w:type="pct"/>
            <w:vMerge w:val="continue"/>
            <w:noWrap w:val="0"/>
            <w:vAlign w:val="center"/>
          </w:tcPr>
          <w:p w14:paraId="55C42C9E">
            <w:pPr>
              <w:snapToGrid w:val="0"/>
              <w:jc w:val="center"/>
              <w:rPr>
                <w:rFonts w:hint="default" w:ascii="Times New Roman" w:hAnsi="Times New Roman" w:cs="Times New Roman"/>
              </w:rPr>
            </w:pPr>
          </w:p>
        </w:tc>
        <w:tc>
          <w:tcPr>
            <w:tcW w:w="1374" w:type="pct"/>
            <w:noWrap w:val="0"/>
            <w:vAlign w:val="center"/>
          </w:tcPr>
          <w:p w14:paraId="136833A0">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带有不可替换光源的灯具</w:t>
            </w:r>
          </w:p>
        </w:tc>
        <w:tc>
          <w:tcPr>
            <w:tcW w:w="1259" w:type="pct"/>
            <w:vMerge w:val="continue"/>
            <w:noWrap w:val="0"/>
            <w:vAlign w:val="center"/>
          </w:tcPr>
          <w:p w14:paraId="33B91696">
            <w:pPr>
              <w:snapToGrid w:val="0"/>
              <w:jc w:val="center"/>
              <w:rPr>
                <w:rFonts w:hint="default" w:ascii="Times New Roman" w:hAnsi="Times New Roman" w:cs="Times New Roman"/>
                <w:kern w:val="0"/>
                <w:szCs w:val="21"/>
              </w:rPr>
            </w:pPr>
          </w:p>
        </w:tc>
        <w:tc>
          <w:tcPr>
            <w:tcW w:w="1209" w:type="pct"/>
            <w:vMerge w:val="continue"/>
            <w:noWrap w:val="0"/>
            <w:vAlign w:val="center"/>
          </w:tcPr>
          <w:p w14:paraId="52689D1D">
            <w:pPr>
              <w:snapToGrid w:val="0"/>
              <w:jc w:val="center"/>
              <w:rPr>
                <w:rFonts w:hint="default" w:ascii="Times New Roman" w:hAnsi="Times New Roman" w:cs="Times New Roman"/>
                <w:kern w:val="0"/>
                <w:szCs w:val="21"/>
              </w:rPr>
            </w:pPr>
          </w:p>
        </w:tc>
      </w:tr>
      <w:tr w14:paraId="246C9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450" w:type="pct"/>
            <w:vMerge w:val="continue"/>
            <w:noWrap w:val="0"/>
            <w:vAlign w:val="center"/>
          </w:tcPr>
          <w:p w14:paraId="2E617E25">
            <w:pPr>
              <w:snapToGrid w:val="0"/>
              <w:jc w:val="center"/>
              <w:rPr>
                <w:rFonts w:hint="default" w:ascii="Times New Roman" w:hAnsi="Times New Roman" w:cs="Times New Roman"/>
                <w:kern w:val="0"/>
                <w:szCs w:val="21"/>
              </w:rPr>
            </w:pPr>
          </w:p>
        </w:tc>
        <w:tc>
          <w:tcPr>
            <w:tcW w:w="706" w:type="pct"/>
            <w:vMerge w:val="continue"/>
            <w:noWrap w:val="0"/>
            <w:vAlign w:val="center"/>
          </w:tcPr>
          <w:p w14:paraId="6A1D52B9">
            <w:pPr>
              <w:snapToGrid w:val="0"/>
              <w:jc w:val="center"/>
              <w:rPr>
                <w:rFonts w:hint="default" w:ascii="Times New Roman" w:hAnsi="Times New Roman" w:cs="Times New Roman"/>
                <w:kern w:val="0"/>
                <w:szCs w:val="21"/>
              </w:rPr>
            </w:pPr>
          </w:p>
        </w:tc>
        <w:tc>
          <w:tcPr>
            <w:tcW w:w="1374" w:type="pct"/>
            <w:noWrap w:val="0"/>
            <w:vAlign w:val="center"/>
          </w:tcPr>
          <w:p w14:paraId="1664227B">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带有非用户替换光源的灯具</w:t>
            </w:r>
          </w:p>
        </w:tc>
        <w:tc>
          <w:tcPr>
            <w:tcW w:w="1259" w:type="pct"/>
            <w:vMerge w:val="continue"/>
            <w:noWrap w:val="0"/>
            <w:vAlign w:val="center"/>
          </w:tcPr>
          <w:p w14:paraId="607918AE">
            <w:pPr>
              <w:snapToGrid w:val="0"/>
              <w:jc w:val="center"/>
              <w:rPr>
                <w:rFonts w:hint="default" w:ascii="Times New Roman" w:hAnsi="Times New Roman" w:cs="Times New Roman"/>
                <w:kern w:val="0"/>
                <w:szCs w:val="21"/>
              </w:rPr>
            </w:pPr>
          </w:p>
        </w:tc>
        <w:tc>
          <w:tcPr>
            <w:tcW w:w="1209" w:type="pct"/>
            <w:vMerge w:val="continue"/>
            <w:noWrap w:val="0"/>
            <w:vAlign w:val="center"/>
          </w:tcPr>
          <w:p w14:paraId="6EA0D3FA">
            <w:pPr>
              <w:snapToGrid w:val="0"/>
              <w:jc w:val="center"/>
              <w:rPr>
                <w:rFonts w:hint="default" w:ascii="Times New Roman" w:hAnsi="Times New Roman" w:cs="Times New Roman"/>
                <w:kern w:val="0"/>
                <w:szCs w:val="21"/>
              </w:rPr>
            </w:pPr>
          </w:p>
        </w:tc>
      </w:tr>
      <w:tr w14:paraId="769A1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450" w:type="pct"/>
            <w:vMerge w:val="continue"/>
            <w:noWrap w:val="0"/>
            <w:vAlign w:val="center"/>
          </w:tcPr>
          <w:p w14:paraId="6B859E06">
            <w:pPr>
              <w:snapToGrid w:val="0"/>
              <w:jc w:val="center"/>
              <w:rPr>
                <w:rFonts w:hint="default" w:ascii="Times New Roman" w:hAnsi="Times New Roman" w:cs="Times New Roman"/>
                <w:kern w:val="0"/>
                <w:szCs w:val="21"/>
              </w:rPr>
            </w:pPr>
          </w:p>
        </w:tc>
        <w:tc>
          <w:tcPr>
            <w:tcW w:w="706" w:type="pct"/>
            <w:vMerge w:val="continue"/>
            <w:noWrap w:val="0"/>
            <w:vAlign w:val="center"/>
          </w:tcPr>
          <w:p w14:paraId="5B52943D">
            <w:pPr>
              <w:snapToGrid w:val="0"/>
              <w:jc w:val="center"/>
              <w:rPr>
                <w:rFonts w:hint="default" w:ascii="Times New Roman" w:hAnsi="Times New Roman" w:cs="Times New Roman"/>
                <w:kern w:val="0"/>
                <w:szCs w:val="21"/>
              </w:rPr>
            </w:pPr>
          </w:p>
        </w:tc>
        <w:tc>
          <w:tcPr>
            <w:tcW w:w="1374" w:type="pct"/>
            <w:noWrap w:val="0"/>
            <w:vAlign w:val="center"/>
          </w:tcPr>
          <w:p w14:paraId="485434B4">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视网膜蓝光危害</w:t>
            </w:r>
          </w:p>
        </w:tc>
        <w:tc>
          <w:tcPr>
            <w:tcW w:w="1259" w:type="pct"/>
            <w:vMerge w:val="continue"/>
            <w:noWrap w:val="0"/>
            <w:vAlign w:val="center"/>
          </w:tcPr>
          <w:p w14:paraId="1950D87C">
            <w:pPr>
              <w:snapToGrid w:val="0"/>
              <w:jc w:val="center"/>
              <w:rPr>
                <w:rFonts w:hint="default" w:ascii="Times New Roman" w:hAnsi="Times New Roman" w:cs="Times New Roman"/>
                <w:kern w:val="0"/>
                <w:szCs w:val="21"/>
              </w:rPr>
            </w:pPr>
          </w:p>
        </w:tc>
        <w:tc>
          <w:tcPr>
            <w:tcW w:w="1209" w:type="pct"/>
            <w:vMerge w:val="continue"/>
            <w:noWrap w:val="0"/>
            <w:vAlign w:val="center"/>
          </w:tcPr>
          <w:p w14:paraId="6A4011D0">
            <w:pPr>
              <w:snapToGrid w:val="0"/>
              <w:jc w:val="center"/>
              <w:rPr>
                <w:rFonts w:hint="default" w:ascii="Times New Roman" w:hAnsi="Times New Roman" w:cs="Times New Roman"/>
                <w:kern w:val="0"/>
                <w:szCs w:val="21"/>
              </w:rPr>
            </w:pPr>
          </w:p>
        </w:tc>
      </w:tr>
      <w:tr w14:paraId="340B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50" w:type="pct"/>
            <w:vMerge w:val="restart"/>
            <w:noWrap w:val="0"/>
            <w:vAlign w:val="center"/>
          </w:tcPr>
          <w:p w14:paraId="62F6B608">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706" w:type="pct"/>
            <w:vMerge w:val="restart"/>
            <w:noWrap w:val="0"/>
            <w:vAlign w:val="center"/>
          </w:tcPr>
          <w:p w14:paraId="399901D6">
            <w:pPr>
              <w:widowControl/>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外部接线和内部接线</w:t>
            </w:r>
          </w:p>
        </w:tc>
        <w:tc>
          <w:tcPr>
            <w:tcW w:w="1374" w:type="pct"/>
            <w:noWrap w:val="0"/>
            <w:vAlign w:val="center"/>
          </w:tcPr>
          <w:p w14:paraId="7D77FAE3">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电源连接方法</w:t>
            </w:r>
          </w:p>
        </w:tc>
        <w:tc>
          <w:tcPr>
            <w:tcW w:w="1259" w:type="pct"/>
            <w:vMerge w:val="restart"/>
            <w:noWrap w:val="0"/>
            <w:vAlign w:val="center"/>
          </w:tcPr>
          <w:p w14:paraId="1143ACCC">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F9D094F">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c>
          <w:tcPr>
            <w:tcW w:w="1209" w:type="pct"/>
            <w:vMerge w:val="restart"/>
            <w:noWrap w:val="0"/>
            <w:vAlign w:val="center"/>
          </w:tcPr>
          <w:p w14:paraId="57577465">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76730D3">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r>
      <w:tr w14:paraId="3356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vMerge w:val="continue"/>
            <w:noWrap w:val="0"/>
            <w:vAlign w:val="center"/>
          </w:tcPr>
          <w:p w14:paraId="5998B178">
            <w:pPr>
              <w:widowControl/>
              <w:snapToGrid w:val="0"/>
              <w:jc w:val="center"/>
              <w:rPr>
                <w:rFonts w:hint="default" w:ascii="Times New Roman" w:hAnsi="Times New Roman" w:cs="Times New Roman"/>
                <w:color w:val="000000"/>
                <w:szCs w:val="21"/>
              </w:rPr>
            </w:pPr>
          </w:p>
        </w:tc>
        <w:tc>
          <w:tcPr>
            <w:tcW w:w="706" w:type="pct"/>
            <w:vMerge w:val="continue"/>
            <w:noWrap w:val="0"/>
            <w:vAlign w:val="center"/>
          </w:tcPr>
          <w:p w14:paraId="589E399A">
            <w:pPr>
              <w:snapToGrid w:val="0"/>
              <w:jc w:val="center"/>
              <w:rPr>
                <w:rFonts w:hint="default" w:ascii="Times New Roman" w:hAnsi="Times New Roman" w:cs="Times New Roman"/>
                <w:kern w:val="0"/>
                <w:szCs w:val="21"/>
              </w:rPr>
            </w:pPr>
          </w:p>
        </w:tc>
        <w:tc>
          <w:tcPr>
            <w:tcW w:w="1374" w:type="pct"/>
            <w:noWrap w:val="0"/>
            <w:vAlign w:val="center"/>
          </w:tcPr>
          <w:p w14:paraId="3D676C5C">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外部接线截面积</w:t>
            </w:r>
          </w:p>
        </w:tc>
        <w:tc>
          <w:tcPr>
            <w:tcW w:w="1259" w:type="pct"/>
            <w:vMerge w:val="continue"/>
            <w:noWrap w:val="0"/>
            <w:vAlign w:val="center"/>
          </w:tcPr>
          <w:p w14:paraId="7310D61D">
            <w:pPr>
              <w:snapToGrid w:val="0"/>
              <w:jc w:val="center"/>
              <w:rPr>
                <w:rFonts w:hint="default" w:ascii="Times New Roman" w:hAnsi="Times New Roman" w:cs="Times New Roman"/>
                <w:szCs w:val="21"/>
              </w:rPr>
            </w:pPr>
          </w:p>
        </w:tc>
        <w:tc>
          <w:tcPr>
            <w:tcW w:w="1209" w:type="pct"/>
            <w:vMerge w:val="continue"/>
            <w:noWrap w:val="0"/>
            <w:vAlign w:val="center"/>
          </w:tcPr>
          <w:p w14:paraId="6DD90B72">
            <w:pPr>
              <w:snapToGrid w:val="0"/>
              <w:jc w:val="center"/>
              <w:rPr>
                <w:rFonts w:hint="default" w:ascii="Times New Roman" w:hAnsi="Times New Roman" w:cs="Times New Roman"/>
                <w:szCs w:val="21"/>
              </w:rPr>
            </w:pPr>
          </w:p>
        </w:tc>
      </w:tr>
      <w:tr w14:paraId="6D90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450" w:type="pct"/>
            <w:noWrap w:val="0"/>
            <w:vAlign w:val="center"/>
          </w:tcPr>
          <w:p w14:paraId="4AD90C2C">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2080" w:type="pct"/>
            <w:gridSpan w:val="2"/>
            <w:noWrap w:val="0"/>
            <w:vAlign w:val="center"/>
          </w:tcPr>
          <w:p w14:paraId="201C9D10">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防触电保护</w:t>
            </w:r>
          </w:p>
        </w:tc>
        <w:tc>
          <w:tcPr>
            <w:tcW w:w="1259" w:type="pct"/>
            <w:noWrap w:val="0"/>
            <w:vAlign w:val="center"/>
          </w:tcPr>
          <w:p w14:paraId="1C899141">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037B2A6F">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c>
          <w:tcPr>
            <w:tcW w:w="1209" w:type="pct"/>
            <w:noWrap w:val="0"/>
            <w:vAlign w:val="center"/>
          </w:tcPr>
          <w:p w14:paraId="6C9B2C96">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3792E62C">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r>
      <w:tr w14:paraId="005D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50" w:type="pct"/>
            <w:noWrap w:val="0"/>
            <w:vAlign w:val="center"/>
          </w:tcPr>
          <w:p w14:paraId="478823D4">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706" w:type="pct"/>
            <w:noWrap w:val="0"/>
            <w:vAlign w:val="center"/>
          </w:tcPr>
          <w:p w14:paraId="1AC8531B">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耐久性试验和热试验</w:t>
            </w:r>
          </w:p>
        </w:tc>
        <w:tc>
          <w:tcPr>
            <w:tcW w:w="1374" w:type="pct"/>
            <w:noWrap w:val="0"/>
            <w:vAlign w:val="center"/>
          </w:tcPr>
          <w:p w14:paraId="6AA21450">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耐久性试验</w:t>
            </w:r>
          </w:p>
        </w:tc>
        <w:tc>
          <w:tcPr>
            <w:tcW w:w="1259" w:type="pct"/>
            <w:noWrap w:val="0"/>
            <w:vAlign w:val="center"/>
          </w:tcPr>
          <w:p w14:paraId="68A2B8E8">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5DBF2114">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c>
          <w:tcPr>
            <w:tcW w:w="1209" w:type="pct"/>
            <w:noWrap w:val="0"/>
            <w:vAlign w:val="center"/>
          </w:tcPr>
          <w:p w14:paraId="60802790">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62FA5BB4">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r>
      <w:tr w14:paraId="0419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vMerge w:val="restart"/>
            <w:noWrap w:val="0"/>
            <w:vAlign w:val="center"/>
          </w:tcPr>
          <w:p w14:paraId="765E9428">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706" w:type="pct"/>
            <w:vMerge w:val="restart"/>
            <w:noWrap w:val="0"/>
            <w:vAlign w:val="center"/>
          </w:tcPr>
          <w:p w14:paraId="0568B2D1">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耐热、耐火和耐起痕</w:t>
            </w:r>
          </w:p>
        </w:tc>
        <w:tc>
          <w:tcPr>
            <w:tcW w:w="1374" w:type="pct"/>
            <w:noWrap w:val="0"/>
            <w:vAlign w:val="center"/>
          </w:tcPr>
          <w:p w14:paraId="078570C9">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耐热</w:t>
            </w:r>
          </w:p>
        </w:tc>
        <w:tc>
          <w:tcPr>
            <w:tcW w:w="1259" w:type="pct"/>
            <w:vMerge w:val="restart"/>
            <w:noWrap w:val="0"/>
            <w:vAlign w:val="center"/>
          </w:tcPr>
          <w:p w14:paraId="192D5DA7">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271F7CFC">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c>
          <w:tcPr>
            <w:tcW w:w="1209" w:type="pct"/>
            <w:vMerge w:val="restart"/>
            <w:noWrap w:val="0"/>
            <w:vAlign w:val="center"/>
          </w:tcPr>
          <w:p w14:paraId="0FAD3CD4">
            <w:pPr>
              <w:snapToGrid w:val="0"/>
              <w:jc w:val="center"/>
              <w:rPr>
                <w:rFonts w:hint="default" w:ascii="Times New Roman" w:hAnsi="Times New Roman" w:cs="Times New Roman"/>
                <w:szCs w:val="21"/>
              </w:rPr>
            </w:pPr>
            <w:r>
              <w:rPr>
                <w:rFonts w:hint="default" w:ascii="Times New Roman" w:hAnsi="Times New Roman" w:cs="Times New Roman"/>
                <w:szCs w:val="21"/>
              </w:rPr>
              <w:t>GB/T 7000.1—2023</w:t>
            </w:r>
          </w:p>
          <w:p w14:paraId="7A1872AA">
            <w:pPr>
              <w:snapToGrid w:val="0"/>
              <w:jc w:val="center"/>
              <w:rPr>
                <w:rFonts w:hint="default" w:ascii="Times New Roman" w:hAnsi="Times New Roman" w:cs="Times New Roman"/>
                <w:szCs w:val="21"/>
              </w:rPr>
            </w:pPr>
            <w:r>
              <w:rPr>
                <w:rFonts w:hint="default" w:ascii="Times New Roman" w:hAnsi="Times New Roman" w:cs="Times New Roman"/>
                <w:szCs w:val="21"/>
              </w:rPr>
              <w:t>GB/T 7000.201—2023</w:t>
            </w:r>
          </w:p>
        </w:tc>
      </w:tr>
      <w:tr w14:paraId="6163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vMerge w:val="continue"/>
            <w:noWrap w:val="0"/>
            <w:vAlign w:val="center"/>
          </w:tcPr>
          <w:p w14:paraId="03D9803E">
            <w:pPr>
              <w:widowControl/>
              <w:snapToGrid w:val="0"/>
              <w:jc w:val="center"/>
              <w:rPr>
                <w:rFonts w:hint="default" w:ascii="Times New Roman" w:hAnsi="Times New Roman" w:cs="Times New Roman"/>
                <w:color w:val="000000"/>
                <w:szCs w:val="21"/>
              </w:rPr>
            </w:pPr>
          </w:p>
        </w:tc>
        <w:tc>
          <w:tcPr>
            <w:tcW w:w="706" w:type="pct"/>
            <w:vMerge w:val="continue"/>
            <w:noWrap w:val="0"/>
            <w:vAlign w:val="center"/>
          </w:tcPr>
          <w:p w14:paraId="2DC52130">
            <w:pPr>
              <w:snapToGrid w:val="0"/>
              <w:jc w:val="center"/>
              <w:rPr>
                <w:rFonts w:hint="default" w:ascii="Times New Roman" w:hAnsi="Times New Roman" w:cs="Times New Roman"/>
                <w:kern w:val="0"/>
                <w:szCs w:val="21"/>
              </w:rPr>
            </w:pPr>
          </w:p>
        </w:tc>
        <w:tc>
          <w:tcPr>
            <w:tcW w:w="1374" w:type="pct"/>
            <w:noWrap w:val="0"/>
            <w:vAlign w:val="center"/>
          </w:tcPr>
          <w:p w14:paraId="02639D24">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耐燃烧和防引燃</w:t>
            </w:r>
          </w:p>
        </w:tc>
        <w:tc>
          <w:tcPr>
            <w:tcW w:w="1259" w:type="pct"/>
            <w:vMerge w:val="continue"/>
            <w:noWrap w:val="0"/>
            <w:vAlign w:val="center"/>
          </w:tcPr>
          <w:p w14:paraId="62421E78">
            <w:pPr>
              <w:snapToGrid w:val="0"/>
              <w:jc w:val="center"/>
              <w:rPr>
                <w:rFonts w:hint="default" w:ascii="Times New Roman" w:hAnsi="Times New Roman" w:cs="Times New Roman"/>
                <w:szCs w:val="21"/>
              </w:rPr>
            </w:pPr>
          </w:p>
        </w:tc>
        <w:tc>
          <w:tcPr>
            <w:tcW w:w="1209" w:type="pct"/>
            <w:vMerge w:val="continue"/>
            <w:noWrap w:val="0"/>
            <w:vAlign w:val="center"/>
          </w:tcPr>
          <w:p w14:paraId="02787FDD">
            <w:pPr>
              <w:snapToGrid w:val="0"/>
              <w:jc w:val="center"/>
              <w:rPr>
                <w:rFonts w:hint="default" w:ascii="Times New Roman" w:hAnsi="Times New Roman" w:cs="Times New Roman"/>
                <w:szCs w:val="21"/>
              </w:rPr>
            </w:pPr>
          </w:p>
        </w:tc>
      </w:tr>
      <w:tr w14:paraId="755B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noWrap w:val="0"/>
            <w:vAlign w:val="center"/>
          </w:tcPr>
          <w:p w14:paraId="5A344405">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2080" w:type="pct"/>
            <w:gridSpan w:val="2"/>
            <w:noWrap w:val="0"/>
            <w:vAlign w:val="center"/>
          </w:tcPr>
          <w:p w14:paraId="2A093599">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电源端子传导骚扰</w:t>
            </w:r>
          </w:p>
        </w:tc>
        <w:tc>
          <w:tcPr>
            <w:tcW w:w="1259" w:type="pct"/>
            <w:noWrap w:val="0"/>
            <w:vAlign w:val="center"/>
          </w:tcPr>
          <w:p w14:paraId="28702856">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1209" w:type="pct"/>
            <w:noWrap w:val="0"/>
            <w:vAlign w:val="center"/>
          </w:tcPr>
          <w:p w14:paraId="5DB69985">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3953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noWrap w:val="0"/>
            <w:vAlign w:val="center"/>
          </w:tcPr>
          <w:p w14:paraId="55CA011B">
            <w:pPr>
              <w:widowControl/>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2080" w:type="pct"/>
            <w:gridSpan w:val="2"/>
            <w:noWrap w:val="0"/>
            <w:vAlign w:val="center"/>
          </w:tcPr>
          <w:p w14:paraId="72C76A62">
            <w:pPr>
              <w:snapToGrid w:val="0"/>
              <w:jc w:val="center"/>
              <w:rPr>
                <w:rFonts w:hint="default" w:ascii="Times New Roman" w:hAnsi="Times New Roman" w:cs="Times New Roman"/>
                <w:kern w:val="0"/>
                <w:szCs w:val="21"/>
              </w:rPr>
            </w:pPr>
            <w:r>
              <w:rPr>
                <w:rFonts w:hint="default" w:ascii="Times New Roman" w:hAnsi="Times New Roman" w:cs="Times New Roman"/>
                <w:kern w:val="0"/>
                <w:szCs w:val="21"/>
              </w:rPr>
              <w:t>辐射骚扰（30MHz~1GHz）</w:t>
            </w:r>
          </w:p>
        </w:tc>
        <w:tc>
          <w:tcPr>
            <w:tcW w:w="1259" w:type="pct"/>
            <w:noWrap w:val="0"/>
            <w:vAlign w:val="center"/>
          </w:tcPr>
          <w:p w14:paraId="30FE7970">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c>
          <w:tcPr>
            <w:tcW w:w="1209" w:type="pct"/>
            <w:noWrap w:val="0"/>
            <w:vAlign w:val="center"/>
          </w:tcPr>
          <w:p w14:paraId="6C702450">
            <w:pPr>
              <w:snapToGrid w:val="0"/>
              <w:jc w:val="center"/>
              <w:rPr>
                <w:rFonts w:hint="default" w:ascii="Times New Roman" w:hAnsi="Times New Roman" w:cs="Times New Roman"/>
                <w:szCs w:val="21"/>
              </w:rPr>
            </w:pPr>
            <w:r>
              <w:rPr>
                <w:rFonts w:hint="default" w:ascii="Times New Roman" w:hAnsi="Times New Roman" w:cs="Times New Roman"/>
                <w:szCs w:val="21"/>
              </w:rPr>
              <w:t>GB/T 17743—2021</w:t>
            </w:r>
          </w:p>
        </w:tc>
      </w:tr>
      <w:tr w14:paraId="1A62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0" w:type="pct"/>
            <w:noWrap w:val="0"/>
            <w:vAlign w:val="center"/>
          </w:tcPr>
          <w:p w14:paraId="78C71B88">
            <w:pPr>
              <w:widowControl/>
              <w:snapToGrid w:val="0"/>
              <w:jc w:val="center"/>
              <w:rPr>
                <w:rFonts w:hint="default" w:ascii="Times New Roman" w:hAnsi="Times New Roman" w:eastAsia="宋体" w:cs="Times New Roman"/>
                <w:color w:val="000000"/>
                <w:szCs w:val="21"/>
                <w:lang w:val="en-US" w:eastAsia="zh-CN"/>
              </w:rPr>
            </w:pPr>
            <w:r>
              <w:rPr>
                <w:rFonts w:hint="default" w:ascii="Times New Roman" w:hAnsi="Times New Roman" w:cs="Times New Roman"/>
                <w:color w:val="000000"/>
                <w:szCs w:val="21"/>
                <w:lang w:val="en-US" w:eastAsia="zh-CN"/>
              </w:rPr>
              <w:t>8</w:t>
            </w:r>
          </w:p>
        </w:tc>
        <w:tc>
          <w:tcPr>
            <w:tcW w:w="2080" w:type="pct"/>
            <w:gridSpan w:val="2"/>
            <w:noWrap w:val="0"/>
            <w:vAlign w:val="center"/>
          </w:tcPr>
          <w:p w14:paraId="2EA30656">
            <w:pPr>
              <w:tabs>
                <w:tab w:val="left" w:pos="1077"/>
              </w:tabs>
              <w:snapToGrid w:val="0"/>
              <w:jc w:val="left"/>
              <w:rPr>
                <w:rFonts w:hint="default" w:ascii="Times New Roman" w:hAnsi="Times New Roman" w:eastAsia="宋体" w:cs="Times New Roman"/>
                <w:kern w:val="0"/>
                <w:szCs w:val="21"/>
                <w:lang w:eastAsia="zh-CN"/>
              </w:rPr>
            </w:pPr>
            <w:r>
              <w:rPr>
                <w:rFonts w:hint="default" w:ascii="Times New Roman" w:hAnsi="Times New Roman" w:cs="Times New Roman"/>
                <w:kern w:val="0"/>
                <w:szCs w:val="21"/>
                <w:lang w:eastAsia="zh-CN"/>
              </w:rPr>
              <w:tab/>
            </w:r>
            <w:r>
              <w:rPr>
                <w:rFonts w:hint="default" w:ascii="Times New Roman" w:hAnsi="Times New Roman" w:cs="Times New Roman"/>
                <w:kern w:val="0"/>
                <w:szCs w:val="21"/>
                <w:lang w:eastAsia="zh-CN"/>
              </w:rPr>
              <w:t>谐波电流</w:t>
            </w:r>
          </w:p>
        </w:tc>
        <w:tc>
          <w:tcPr>
            <w:tcW w:w="1259" w:type="pct"/>
            <w:noWrap w:val="0"/>
            <w:vAlign w:val="center"/>
          </w:tcPr>
          <w:p w14:paraId="4A7BA89C">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c>
          <w:tcPr>
            <w:tcW w:w="1209" w:type="pct"/>
            <w:noWrap w:val="0"/>
            <w:vAlign w:val="center"/>
          </w:tcPr>
          <w:p w14:paraId="57260C43">
            <w:pPr>
              <w:snapToGrid w:val="0"/>
              <w:jc w:val="center"/>
              <w:rPr>
                <w:rFonts w:hint="default" w:ascii="Times New Roman" w:hAnsi="Times New Roman" w:cs="Times New Roman"/>
                <w:szCs w:val="21"/>
              </w:rPr>
            </w:pPr>
            <w:r>
              <w:rPr>
                <w:rFonts w:hint="default" w:ascii="Times New Roman" w:hAnsi="Times New Roman" w:cs="Times New Roman"/>
                <w:szCs w:val="21"/>
              </w:rPr>
              <w:t>GB 17625.1—2022</w:t>
            </w:r>
          </w:p>
        </w:tc>
      </w:tr>
    </w:tbl>
    <w:p w14:paraId="1DA940E4">
      <w:pPr>
        <w:snapToGrid w:val="0"/>
        <w:spacing w:line="240" w:lineRule="auto"/>
        <w:rPr>
          <w:rFonts w:eastAsia="黑体"/>
          <w:color w:val="000000"/>
          <w:szCs w:val="21"/>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52B49DC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7000.1—2023 灯具 第1部分：一般要求与试验</w:t>
      </w:r>
    </w:p>
    <w:p w14:paraId="02131C8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 xml:space="preserve">GB/T 7000.201—2023 灯具 第2-1部分：特殊要求 </w:t>
      </w:r>
      <w:bookmarkStart w:id="0" w:name="_GoBack"/>
      <w:bookmarkEnd w:id="0"/>
      <w:r>
        <w:rPr>
          <w:rFonts w:hint="default" w:ascii="Times New Roman" w:hAnsi="Times New Roman" w:eastAsia="宋体" w:cs="Times New Roman"/>
          <w:sz w:val="22"/>
          <w:szCs w:val="28"/>
        </w:rPr>
        <w:t>固定式通用灯具</w:t>
      </w:r>
    </w:p>
    <w:p w14:paraId="17F8318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17625.1—2022 电磁兼容 限值 第1部分：谐波电流发射限值(设备每相输入电流≤16A）</w:t>
      </w:r>
    </w:p>
    <w:p w14:paraId="5184C44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17743—2021 电气照明和类似设备的无线电骚扰特性的限值和测量方法</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36839EA"/>
    <w:rsid w:val="06E03F13"/>
    <w:rsid w:val="070E6657"/>
    <w:rsid w:val="0CD143AE"/>
    <w:rsid w:val="0D343503"/>
    <w:rsid w:val="13144FF5"/>
    <w:rsid w:val="149E7B87"/>
    <w:rsid w:val="156C55BC"/>
    <w:rsid w:val="1B065B6B"/>
    <w:rsid w:val="1E7B23CC"/>
    <w:rsid w:val="1FCE4625"/>
    <w:rsid w:val="20A4526D"/>
    <w:rsid w:val="222A1341"/>
    <w:rsid w:val="29B570DA"/>
    <w:rsid w:val="2B4863B8"/>
    <w:rsid w:val="2B830B12"/>
    <w:rsid w:val="2E5977D4"/>
    <w:rsid w:val="2E8C4181"/>
    <w:rsid w:val="2ED81174"/>
    <w:rsid w:val="347C1B4C"/>
    <w:rsid w:val="38A81BB8"/>
    <w:rsid w:val="3D4D275B"/>
    <w:rsid w:val="3E0F5B7A"/>
    <w:rsid w:val="408E5B37"/>
    <w:rsid w:val="42C54070"/>
    <w:rsid w:val="43081BD1"/>
    <w:rsid w:val="439E0D9F"/>
    <w:rsid w:val="44512568"/>
    <w:rsid w:val="46050649"/>
    <w:rsid w:val="46F26E20"/>
    <w:rsid w:val="470C0994"/>
    <w:rsid w:val="48797678"/>
    <w:rsid w:val="4C6D02BD"/>
    <w:rsid w:val="4E227B86"/>
    <w:rsid w:val="4E3A2F69"/>
    <w:rsid w:val="523C53F3"/>
    <w:rsid w:val="534D3EB1"/>
    <w:rsid w:val="537D2CAC"/>
    <w:rsid w:val="56105DFB"/>
    <w:rsid w:val="58705DF6"/>
    <w:rsid w:val="592E4311"/>
    <w:rsid w:val="5B177556"/>
    <w:rsid w:val="649B4036"/>
    <w:rsid w:val="66F127F8"/>
    <w:rsid w:val="6864524C"/>
    <w:rsid w:val="68932257"/>
    <w:rsid w:val="6E79418D"/>
    <w:rsid w:val="6FD607DD"/>
    <w:rsid w:val="6FF46EB5"/>
    <w:rsid w:val="71BA4C42"/>
    <w:rsid w:val="737C0D9D"/>
    <w:rsid w:val="73C038EC"/>
    <w:rsid w:val="74422159"/>
    <w:rsid w:val="77062301"/>
    <w:rsid w:val="7947444E"/>
    <w:rsid w:val="799A287B"/>
    <w:rsid w:val="7C093CE8"/>
    <w:rsid w:val="7E0917AF"/>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907</Words>
  <Characters>1271</Characters>
  <Lines>0</Lines>
  <Paragraphs>0</Paragraphs>
  <TotalTime>3</TotalTime>
  <ScaleCrop>false</ScaleCrop>
  <LinksUpToDate>false</LinksUpToDate>
  <CharactersWithSpaces>1316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2026-07-03T03:43:24Z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C952FF8B6D4E45FAABD638858D5AE798_13</vt:lpwstr>
  </property>
  <property fmtid="{D5CDD505-2E9C-101B-9397-08002B2CF9AE}" pid="4" name="KSOTemplateDocerSaveRecord">
    <vt:lpwstr>eyJoZGlkIjoiYjU4YTEyOWI0YTA1NzExMDUyM2E4NzRjZjM1MmQ2OWEiLCJ1c2VySWQiOiIxMTI2NTcyODI0In0=</vt:lpwstr>
  </property>
</Properties>
</file>